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27.10.2020 заявленные требования удовлетворены частично, признан незаконным отказ инспекции в предоставлении предпринимателю заявленной субсидии, на инспекцию возложена обязанность повторно рассмотреть указанное заявление. В остальной части в удовлетворении заявления отказано. Постановлением Двенадцатого арбитражного апелляционного суда от 22.12.2020, оставленным без изменения постановлением Арбитражного суда Поволжского округа от 13.04.2021 решение суда отменено в удовлетворенной части, заявителю в удовлетворении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постановления апелляционного суда и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инспекцию с заявлением о предоставлении субсидии, предусмотренной постановлением Правительства Российской Федерации от 24.04.2020 № 576 «Об утверждении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инфекции» (далее – постановление № 576) за апрель 2020 года. По результатам рассмотрения заявления инспекцией принято решение об отказе в предоставлении субсидии, оформленное сообщением № 37450. Не согласившись с указанным отказом, предприниматель обратился в управление с жалобой, по результатам рассмотрения которой управлением вынесено решение от 19.06.2020 № 15-17/011626@ об отказе в удовлетворении жалобы. Указанные обстоятельства послужили основанием для обращения предпринимателя в арбитражный суд. Удовлетворяя заявление, суд первой инстанции пришел к выводу о правомерности заявленных требований, поскольку предприниматель по состоянию на 01.03.2020 помимо иных групп, входящих в подкласс 45.3 ОКВЭД 2, осуществлял также деятельность - розничную торговлю автомобильными деталями, узлами и принадлежностями (группа 45.32), которая включена в перечень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инфекции. Отменяя решение суда первой инстанции, суд апелляционной инстанции, руководствуясь положениями Налогового кодекса Российской Федерации, постановлением № 576, Перечнем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утвержденным постановлением Правительства Российской Федерации от 03.04.2020 № 434 (далее – постановление № 434), пришел к выводу о том, что отказ налогового органа в предоставлении субсидии является законным, с чем согласился суд округа. Судебные инстанции исходили из несоблюдения предпринимателем условия для получения субсидии, предусмотренного постановлением № 576, в соответствии с которым получатель субсидии определяется по основному виду экономической деятельности, информация о котором содержится в Едином государственном реестре индивидуальных предпринимателей по состоянию на 01.03.2020. Как установлено судами, по состоянию на 01.03.2020 в ЕГРИП в отношении предпринимателя имелась информация о том, что основным видом деятельности является – 45.3 «Торговля автомобильными деталями, узлами и принадлежностями», что исключает возможность получения субсидии, поскольку отрасль, в которой ведется деятельность получателя субсидии, не относится к отраслям, утвержденным постановлением № 434. При этом суды отметили, что постановлением № 434 в перечень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внесен вид экономической деятельности с кодом 45.32 «Торговля розничная автомобильными деталями, узлами и принадлежностями», что свидетельствует о направленности волеизъявления законодателя на поддержку конкретной подгруппы, осуществляющей розничную торговлю автомобильными деталями, узлами и принадлежностями. При этом равнозначная по ОКВЭД 2 группа - 45.31 «Торговля оптовая автомобильными деталями, узлами и принадлежностями» и входящие в ОКВЭД 2 группировки, такие как подкласс 45.3 «Торговля автомобильными деталями, узлами и принадлежностями» в перечень не включены. Доводы заявителя, изложенные в кассационной жалобе, являлись предметом рассмотрения судов апелляционной инстанции и округа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Ашихмин Сергей Васильевич (подробнее) Ответчики: МИФНС России №3 по СО (подробнее) УФНС по СО (подробнее) Иные лица: Арбитражный суд Поволжского округа (подробнее) УФНС России по Саратовской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