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ФИО2 (далее – ФИО2) обратилась в Арбитражный суд Тульской области с иском к индивидуальному предпринимателю ФИО1 (далее – М.Д.МБ.) о взыскании 7 000 000 рублей. Решением Арбитражного суда Тульской области области от 02.10.2020, оставленным без изменения постановлением Двадцатого арбитражного апелляционного суда от 16.02.2021 и постановлением Арбитражного суда Центрального округа от 05.05.2021,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ошибочное толкование судами статей 310 , 421 Гражданского кодекса Российской Федерации (далее – Гражданский кодекс). По мнению ФИО1, суды в нарушение норм процессуального права самостоятельно произвели переквалификацию заявленных требований.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ФИО1 (участник-1) и ФИО3 (участник-2, после регистрации брака присвоена фамилия ФИО2) заключен договор о совместной деятельности (далее – договор) от 13.04.2018. В соответствии с пунктом 1.1 договора участники, исходя из общих коммерческих интересов, обязуются: совместно действовать без образования юридического лица путем объединения имущества, денежных средств, иных материальных ресурсов, своего профессионального опыта, а также деловой репутации и деловых связей в целях строительства жилого дома блокированной застройки (таунхауса) и последующего извлечения прибыли от продажи третьей блок-секции дома блокированной застройки и земельного участка, прилегающего к ней, по адресу объекта: Тульская область, г. Тула, район Советский, ул. 3-я Озерная &lt;...&gt;. Согласно пункту 2.1. договора для достижения общей цели ФИО1 обязан внести в совместную деятельность следующий вклад: земельный участок, площадью 596 кв. м с кадастровым номером 71:30:040203:132; земельный участок, площадью 299 кв. м с кадастровым номером 71:30:040203:134; денежные средства в размере 13 000 000 руб., которые предоставляются наличными денежными средствами ФИО2 по устной либо письменной заявке в течение 2 (двух) рабочих дней, в подтверждение чему составляется двусторонний акт приема-передачи. В соответствии с пунктом 2.2. договора ФИО2 обязана внести в совместную деятельность следующий вклад: создает необходимые условия для эффективного использования земельного участка, а также прилегающей к нему территории; профессиональные знания, навыки и умения, а также деловая репутация и деловые связи, сложившиеся на рынке недвижимости; осуществляет строительство жилого дома блокированной застройки (таунхауса). Пунктом 4.1.2. договора установлено, что стоимость строительства составляет 13 000 000; в случае превышения указанной стоимости, дополнительное финансирование строительства будет осуществлять за счет собственных средств ФИО2 Как установили суды, с 01.10.2018 ФИО2 неоднократно устно и по электронной почте запрашивалось финансирование, которое ФИО1 в полном объеме не предоставлено. По состоянию на 22.10.2018 ФИО1 произвел в соответствии с договором финансирование на сумму 10 285 713 рублей, которое было направлено на создание объекта недвижимости. С 22.10.2018 (после фиксации состояния объекта и объемов завершенных работ) ФИО1 прекратил внесение оставшейся части вклада участника и отстранил ФИО2 (а также привлеченных ей лиц) от выполнения работ. ФИО1 05.04.2019 заявил об одностороннем отказе от договора о совместной деятельности от 13.04.2018, направив ФИО2 соответствующее уведомление, полученное последней 30.04.2019. Согласно условиям договора (пункт 6.2) ФИО1 вправе отказаться от сделки в любой момент, обязавшись при этом, возместить ФИО2 денежную сумму в размере 7 000 000 рублей в течение 20 календарных дней. При этом ФИО1 остается все имущество, приобретенное к моменту отказа, в соответствии с двухсторонними актами приема-передачи. ФИО2 направила ФИО1 досудебную претензию от 18.06.2019, в которой требовала в 10-дневный срок с даты ее получения уплатить 7 000 000 рублей и проценты (претензия оставлена без удовлетворения). Ссылаясь на указанные обстоятельства,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 , 310 , 421 , 450 , 450.1 , 740 , 743 , 431 , 1041 - 1043 , 1050 , 1052 Гражданского кодекса Российской Федерации, разъяснениями, изложенными в пункте 7 постановление Пленума Высшего Арбитражного Суда Российской Федерации от 11.07.2011 № 54 «О некоторых вопросах разрешения споров, возникающих из договоров по поводу недвижимости, которая будет создана или приобретена в будущем», суды удовлетворили заявленные требования, придя к выводам о том, что право ответчика на расторжение договора в одностороннем порядке корреспондируется с обязанностью уплатить истцу обусловленную соглашением сумму, учитывая, что результат совместной деятельности перешел полностью в собственность ФИО1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