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30.12.2020 в удовлетворении заявленного требования отказано. 2 Определением Седьмого арбитражного апелляционного суда от 24.02.2021 апелляционная жалоба общества возвращена в связи с отказом в восстановлении пропущенного срока на ее подачу. Постановлением Арбитражного суда Западно-Сибирского округа от 17.05.2021 решение суда первой инстанции оставлено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 гражданином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3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Суды признали, что процедура привлечения к административной ответственности не нарушена, вина общества установлена. Оснований для применения положений статьи 2.9 Кодекса Российской Федерации об административных правонарушениях не выявлено.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Ссылка на судебную практику несостоятельна, поскольку приведенные в качестве примеров дела рассматривались как с применением иной редакции спорной нормы, так и по жалобе административного органа с учетом требований статьи 30.17 Кодекса Российской Федерации об административных правонарушениях, что существенно отличает их от настоящего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