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21.12.2020, оставленным без изменения постановлением Шестнадцатого арбитражного апелляционного суда от 24.02.2021, в удовлетворении заявленного требования отказано. Постановлением Арбитражного суда Северо-Кавказского округа от 28.04.2021 указанные судебные акты оставлены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производства и выпуска в обращение обществом пищевой продукции с нарушением требований технических регламентов, создающим угрозу причинения вреда жизни и здоровью граждан. Частью 1 статьи 14.43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14.43.1, 14.44, 14.46, 14.46.1, 20.4 названного Кодекса. 3 Ответственность за совершение вышеперечисленных действий, повлекших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создавших угрозу причинения вреда жизни или здоровью граждан, окружающей среде, жизни или здоровью животных и растений, предусмотрена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Федерального закона от 27.12.2002 № 184-ФЗ «О техническом регулировании», Федерального закона от 02.01.2000 № 29-ФЗ «О качестве и безопасности пищевых продуктов», Технического регламента Таможенного Союза ТР ТС 021/2011 «О безопасности пищевой продукции»,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основания для применения положений статьи 2.9 Кодекса Российской Федерации об административных правонарушениях отсутствуют.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 исходя из характеристик выпускаемой в обращение продукции.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