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13.04.2015 в иске отказано. Постановлением Шестнадцатого арбитражного апелляционного суда от 14.08.2015 решение суда первой инстанции отменено, иск удовлетворен. 2 Постановлением Арбитражного суда Северо-Кавказского округа от 26.11.2015 постановление суда апелляционной инстанции отменено, дело направлено на новое рассмотрение в апелляционный суд. При новом рассмотрении дела постановлением Шестнадцатого арбитражного апелляционного суда от 25.02.2016 решение суда первой инстанции отменено, иск удовлетворен. Постановлением Арбитражного суда Северо-Кавказского округа от 10.06.2016 постановление суда апелляционной инстанции отменено, дело направлено на новое рассмотрение в апелляционный суд. Постановлением Шестнадцатого арбитражного апелляционного суда от 06.06.2018 решение суда первой инстанции отменено, иск удовлетворен. Постановлением Арбитражного суда Северо-Кавказского округа от 29.08.2018 постановление суда апелляционной инстанции отменено, дело направлено на новое рассмотрение в апелляционный суд. Постановлением Шестнадцатого арбитражного апелляционного суда от 30.12.2020 решение суда первой инстанции оставлено без изменения. Постановлением Арбитражного суда Северо-Кавказского округа от 29.03.2021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711, 720, 740, 743, 763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что заявленные работы являются дополнительными и выполнены сверх предусмотренной цены контракта, возникли по вине истца, не согласованы надлежащим образом, безотлагательность работ не выявлена, вероятная гибель 3 (повреждение) объекта строительства без незамедлительного проведения этих работ не подтверждена. Доводы жалобы были предметом исследования судов и получили исчерпывающую правовую оценку с учетом установленных обстоятельств и представленных доказательств, не согласиться с которыми оснований не имеется. При этом учитывается принцип правовой определенности, обеспечивающий стабильность правоотношений в сфере предпринимательской и иной экономической деятельности, и задачи судопроизводства в арбитражных судах.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