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18.12.2020, оставленным без изменения постановлением Шестнадцатого арбитражного апелляционного суда от 26.02.2021, в удовлетворении заявленного требования отказано. Постановлением Арбитражного суда Северо-Кавказского округа от 28.04.2021 указанные судебные акты оставлены без изменения. Общество просит обжалуемые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производства и выпуска в обращение обществом пищевой продукции с нарушением требований технических регламентов, создающим угрозу причинения вреда жизни и здоровью граждан. Частью 1 статьи 14.43 Кодекса Российской Федерации об административных правонарушениях установлена административная ответственность за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статьями 6.31, 9.4, 10.3, 10.6, 10.8, частью 2 статьи 11.21, статьями 14.37, 14.43.1, 14.44, 14.46, 14.46.1, 20.4 названного Кодекса. 3 Ответственность за совершение вышеперечисленных действий, повлекших причинение вреда жизни или здоровью граждан, имуществу физических или юридических лиц, государственному или муниципальному имуществу, окружающей среде, жизни или здоровью животных и растений либо создавших угрозу причинения вреда жизни или здоровью граждан, окружающей среде, жизни или здоровью животных и растений, предусмотрена частью 2 статьи 14.43 Кодекса Российской Федерации об административных правонарушениях. Оценив представленные доказательства, руководствуясь положениями Федерального закона от 27.12.2002 № 184-ФЗ «О техническом регулировании», Федерального закона от 02.01.2000 № 29-ФЗ «О качестве и безопасности пищевых продуктов», Технического регламента Таможенного Союза ТР ТС 021/2011 «О безопасности пищевой продукции», суды пришли к выводу о наличии в действиях общества состава административного правонарушения, ответственность за совершение которого предусмотрена частью 2 статьи 14.43 Кодекса Российской Федерации об административных правонарушениях. Суды указали, что процедура привлечения к административной ответственности не нарушена, срок давности привлечения к ответственности соблюден, основания для применения положений статьи 2.9 Кодекса Российской Федерации об административных правонарушениях отсутствуют. Приведенные в жалобе доводы, идентичные изложенным в обоснование позиции заявителя при рассмотрении дела, подробно исследованы судами и им дана соответствующая правовая оценка исходя из характеристик выпускаемой в обращение продукции.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