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06.11.2020, оставленным без изменения постановлением Восьмого арбитражного апелляционного суда от 18.02.2021, заявленное требование удовлетворено. 2 Постановлением Арбитражного суда Западно-Сибирского округа от 05.05.2021 указанные судебные акты оставлены без изменения. Дополнительным решением Арбитражного суда Тюменской области от 27.01.2021, оставленным без изменения постановлением Восьмого арбитражного апелляционного суда от 19.03.2021, с антимонопольного органа в пользу Вараксина А.В. взысканы судебные расходы в размере 25 000 рублей, в удовлетворении остальной части требований отказано. Постановлением Арбитражного суда Западно-Сибирского округа от 05.05.2021 названные судебные акты оставлены без изменения. В кассационной жалобе Вараксин А.В. просит изменить мотивировочную часть принятых по существу спора судебных актов, а судебные акты в части отказа во взыскании судебных расходов отменить, требования в указанной части удовлетворить. Основания для пересмотра судебных актов в кассационном порядке по доводам жалобы отсутствуют. Как следует из судебных актов, определением антимонопольного органа, вынесенным по итогам рассмотрения заявления Вараксина А.В., отказано в возбуждении в отношении акционерного общества «Газпром газораспределение Север» дела об административном правонарушении, предусмотренном статьей 9.21 Кодекса Российской Федерации об административных правонарушениях. Частью 1 статьи 9.21 Кодекса Российской Федерации об административных правонарушениях предусмотрена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3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руководствуясь положениями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30.12.2013 № 1314, суды признали, что у антимонопольного органа отсутствовали основания для отказа в возбуждении дела об административном правонарушении, установив, что общество «Газпром газораспределение Север» не приняло меры по урегулированию разногласий, возникших на стадии заключения договора на технологическое присоединение к сетям газораспределения. Кроме того, суды, исследовав и оценив в совокупности доказательства, представленные заявителем в подтверждение понесенных при рассмотрении дела судебных расходов, принимая во внимание объем и сложность работы, количество времени, которое мог бы затратить на подготовку документов квалифицированный специалист, пришли к выводу об обоснованности предъявленных заявителем к взысканию судебных расходов в размере 25 000 рублей.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4 экономической деятельности, а также защита охраняемых законом публичных интересов. Таких обстоятельств не приведено с учетом положений абзаца 5 пункта 19.2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