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Хакасия от 24.09.2020, оставленным без изменения постановлением Третьего арбитражного 2 апелляционного суда от 15.12.2020, оспариваемое постановление административного органа изменено в части назначенного наказания, размер штрафа снижен до 350 000 рублей. Постановлением Арбитражного суда Восточно-Сибирского округа от 01.04.2021 указанные судебные акты оставлены без изменения. В кассационной жалобе общество просит отменить указанные судебные акты, считая их незаконными и необоснованными.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административным органом установлено, что общество не осуществило передачу ведения реестра владельцев эмиссионных ценных бумаг регистратору, осуществляло ведение данного реестра в отсутствие законных на то оснований. Частью 2 статьи 15.22 Кодекса Российской Федерации об административных правонарушениях предусмотрена административная ответственность за незаконное ведение реестра владельцев ценных бумаг их эмитентом, а равно в случае замены лица, осуществляющего ведение реестра владельцев ценных бумаг, уклонение такого лица от передачи полученной от 3 эмитента информации, данных и документов, составляющих систему ведения реестра владельцев ценных бумаг,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передачи. Оценив представленные доказательства, руководствуясь положениями статьи 149 Гражданского кодекса Российской Федерации, Федерального закона от 22.04.1996 № 39-ФЗ «О рынке ценных бумаг»,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15.22 Кодекса Российской Федерации об административных правонарушениях. Суды установили, что порядок и срок давности привлечения к административной ответственности соблюдены, оснований для признания совершенного правонарушения малозначительным не имеется. Назначенный постановлением административного органа штраф снижен судом первой инстанции с учетом положений статьи 4.1 Кодекса Российской Федерации об административных правонарушениях. Доводам жалобы о пропуске срока давности привлечения к административной ответственности дана исчерпывающая правовая оценка в обжалуемых судебных актах, не согласиться с которой оснований не имеется. Несогласие заявителя с оценкой имеющихся в деле доказательств и с толкованием судами норм материального права не свидетельствует о том, что судами допущены существенные нарушения названного Кодекса и (или) предусмотренных им процессуальных требований, не позволившие всесторонне, полно и объективно рассмотреть дело. Поскольку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имеется, ходатайство общества об участии в судебном заседании путем использования систем видеоконференц-связи рассмотрению не подлежит.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