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23.06.2020, оставленным без изменения постановлением Третьего арбитражного апелляционного суда от 19.08.2020, общество привлечено к административной ответственности, предусмотренной частью 2 статьи 14.43 Кодекса Российской Федерации об административных правонарушениях, и ему назначено наказание в виде административного штрафа в размере 300 000 рублей. 2 Определением Арбитражного суда Восточно-Сибирского округа от 04.03.2021 кассационная жалоба возвращена обществу на основании пункта 2 части 1 статьи 281 Арбитражного процессуального кодекса Российской Федерации. Определением того же суда от 05.04.2021 указанное определение суда округа оставлено без изменения. Общество обратилось в Верховный Суд Российской Федерации с кассационной жалобой, в которой просит определения суда округа отменить, ссылаясь на допущенные, по его мнению, существенные нарушения норм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Приводимые заявителем причины несвоевременного обращения в суд с кассационной жалобой были рассмотрены судом округа и признаны неуважительными. Доказательств того, что, действуя разумно и добросовестно, общество столкнулось с обстоятельствами, объективно воспрепятствовавшими своевременному направлению кассационной жалобы и ограничивающими возможность совершения соответствующего процессуального действия в отведенный срок, не представлено и судом таких обстоятельств не установлено. Приведенные в жалобе доводы были предметом исследования суда и получили исчерпывающую правовую оценку применительно к установленным обстоятельствам и представленным доказательствам,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Учитывая изложенное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