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30.10.2020, оставленным без изменения постановлением Девятого арбитражного апелляционного суда от 22.01.2021, заявление общества в части несоставления акта камеральной налоговой проверки уточненной налоговой декларации (корректировка № 1), представленной заявителем 06.03.2019 оставлено без рассмотрения, в удовлетворении остальной части заявления отказано. Постановлением Арбитражного суда Московского округа от 08.04.2021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Между тем,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суды признали, что в рассматриваемом случае налогоплательщиком не представлено объективно новых данных, отличных от данных, указанных в первоначальной налоговой декларации; установленный налоговым органом факт совершения налогового правонарушения по первоначальной налоговой декларации не опровергается, как удовлетворение заявленных требований приведет к восстановлению прав налогоплательщика и какой защите они подлежат, в жалобе не указано. 3 Боле того, удовлетворение требований общества приведет к нарушению принципа однократности привлечения к юридической ответственности за правонарушение, что является недопустимым.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