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13.11.2020, оставленным без изменения постановлением Девятого арбитражного апелляционного суда от 19.03.2021, в удовлетворении требований отказано. Постановлением Арбитражного суда Московского округа от 19.05.2021 указанные судебные акты оставлены без изменения. 2 Общество просит отменить принятые по делу судебные акты,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отказали в удовлетворении требования, руководствуясь положениями статей 146, 149, 154, 169, 252 Налогового кодекса Российской Федерации, постановления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признав доказанным факт осуществления сделок не в соответствующей их экономическому смыслу форме, не обусловленных разумными экономическими причинами, в целях получения необоснованной налоговой выгоды. Приведенные в жалобе доводы, в том числе о нарушении процедуры налоговой проверки, сводятся к изложению обстоятельств дела, которые получили надлежащую правовую оценку судов и мотивированно отклонены, выводы судов не опровергают, не подтверждают существенных нарушений судами норм материального и (или) процессуального права и не являются 3 достаточным основанием для пересмотра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