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Приморского края от 23.11.2020, оставленным без изменения постановлением Пятого арбитражного апелляционного суда от 27.01.2021, оспариваемое постановление изменено в 2 части назначенного административного наказания, штраф снижен до 150 000 рублей. Постановлением Арбитражного суда Дальневосточного округа от 07.04.2021 указанные судебные акты оставлены без изменения. Общество обратилось в Верховный Суд Российской Федерации с кассационной жалобой, в которой просит названные судебные акты отменить, считая их принятыми с существенным нарушением норм материального и процессуального права. При изучении доводов жалобы оснований для удовлетворения упомянутой жалобы не установлено. Частью 2.1 статьи 14.16 Кодекса об административных правонарушениях Российской Федерации предусмотрена ответственность за розничную продажу несовершеннолетнему алкогольной продукции, если это действие не содержит уголовно наказуемого деяния. Оценив представленные доказательства, руководствуясь положениями Федерального закона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суды пришли к выводу о наличии в действиях общества состава правонарушения по части 2.1 статьи 14.16 Кодекса об административных правонарушениях Российской Федерации. При этом суды исходили из того, что ненадлежащее исполнение трудовых обязанностей работником свидетельствует об отсутствии надлежащего контроля со стороны хозяйствующего субъекта за действиями своих работников; принятые обществом меры оказались явно недостаточными для обеспечения выполнения требований законодательства. Процедура и срок давности привлечения к административной ответственности соблюдены. Оснований для признания совершенного правонарушения малозначительным и освобождения лица от административной ответственности судами не установлено. 3 Ссылка заявителя на иную судебную практику не может служить основанием для отмены или изменения обжалуемых актов по настоящему делу, поскольку при рассмотрении дел об административном правонарушении судами учитываются обстоятельства, присущие каждому конкретному делу и основанные на доказательствах, представленных участвующими в деле лицами. В рассматриваемом деле об административном правонарушении совокупность установленных оснований позволили судам прийти к выводу о том, что событие административного правонарушения, виновность лица, привлекаемого к административной ответственности, а также иные обстоятельства, имеющие значение для правильного разрешения дела, установлены и доказаны на основании исследования представленных в материалы дела доказательств, являющихся достаточными и согласующимися между собой. Доводы жалобы свидетельствуют о несогласии с установленными судами обстоятельствами, а также оценкой имеющихся в материалах дела доказательств, что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кассационном порядке. Существенных нарушений судами норм материального права, а также требований процессуального законодательства, повлиявших на исход судебного разбирательства, по доводам жалобы не установлено.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4</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