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16.07.2020, оставленным без изменения постановлением Семнадцатого арбитражного апелляционного суда от 08.12.2020, в удовлетворении требования отказано. Постановлением Арбитражного суда Уральского округа от 02.04.2021 указанные судебные акты оставлены без изменения. Общество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заявленного требования, признав,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3 обстоятельствам дела,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