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15.10.2020, оставленным без изменения постановлениями Восемнадцатого арбитражного апелляционного 2 суда от 21.12.2020 и Арбитражного суда Уральского округа от 05.04.2021, в удовлетворении заявленного требования отказано. В кассационной жалобе (и дополнении к ней) учреждение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решением антимонопольного органа признан факт нарушения учреждением пункта 2 части 1 статьи 17 Федерального закона от 26.07.2006 № 135-ФЗ «О защите конкуренции» (далее - Закон о защите конкуренции), выразившийся в создании преимущественных условий для общества, в том числе путем доступа к информации, а также в проведении аукциона и исполнении контракта с нарушением законодательства Российской Федерации о контрактной системе. Не согласившись с решением управления, учреждение обратилось в арбитражный суд. Исследовав и оценив представленные в материалы дела доказательства, руководствуясь положениями статьи 4, части 1 статьи 8, пункта 2 части 1 статьи 17 Закона о защите конкуренции,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 учетом правовой позиции, изложенной в пункте 9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Президиумом Верховного Суда Российской Федерации 16.03.2016, суды пришли к выводу о правомерности оспариваемого решения антимонопольного органа. Судебные инстанции исходили из совокупности доказательств, свидетельствующих о недобросовестном поведении учреждения, нарушающем требования Закона о защите конкуренции по причине создания преимущественных условий для общества, как участника закупки, а также проведения аукциона с документацией о нем, которая не содержит 3 установленной необходимой информации об объекте закупки либо содержит ненадлежащую (недостаточную) информацию. При исследовании обстоятельств дела установлено, что общество заранее обладало информацией о проведении аукциона; аукционная документация не содержит сведений, позволяющих определить предмет аренды, потребности заказчика, условия исполнения контракта. Доводы кассационной жалобы (и дополнения к ней)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областному государственному казенному учреждению Челябинской области «Центр обработки вызовов системы 112 – безопасный 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