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01.10.2020, оставленным без изменения постановлениями Тринадцатого арбитражного апелляционного суда от 24.12.2020 и Арбитражного суда Северо-Западного округа от 06.04.2021, в удовлетворении заявленного требования отказано. В кассационной жалобе компания ставит вопрос об отмене принятых по делу судебных актов, ссылаясь на нарушение норм права, несоответствие выводов судов фактическим обстоятельствам дела.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компания в связи с расторжением договора управления многоквартирным домом (далее - МКД), заключенного с обществом, а также заключением договора управления МКД с ней на основании решения общего собрания собственников помещений, оформленного протоколом от 25.12.2019, обратилась в инспекцию с заявлением о внесении изменений в реестр лицензий Санкт-Петербурга. По результатам проверки заявления компании инспекцией вынесено распоряжение от 28.02.2020 № 616-рл об отказе во внесении сведений об МКД в реестр лицензий Санкт-Петербурга. Не согласившись с распоряжением инспекции, компания обратилась в арбитражный суд. Отказывая в удовлетворении заявления, суды, исследовав и оценив представленные в материалы дела доказательства, руководствуясь положениями статей 192, 195, 198 Жилищного кодекса Российской Федерации, Порядком и сроками внесения изменений в реестр лицензий субъекта Российской Федерации, утвержденными приказом Министерства строительства и жилищно-коммунального хозяйства Российской Федерации от 25.12.2015 № 938/пр (далее – Порядок № 938/пр), пришли к выводу о том, что оспариваемое распоряжение соответствует действующему законодательству и не нарушает права и интересы заявителя. Судебные инстанции исходили из отсутствия у инспекции оснований для внесения изменений в реестр лицензий. При исследовании обстоятельств дела установлено, что сведения о спорном МКД размещены в разделе реестра, содержащем перечень адресов МКД, управление которыми осуществляет общество; предоставленный компанией протокол общего собрания собственников помещений в МКД от 25.12.2019 не является последним протоколом, содержащим волеизъявления собственников по вопросу управления МКД; заявление компании не соответствовало подпункту «в» пункта 5 Порядка № 938/пр. 3 Ссылка компании на не указание в судебных актах всех доводов заявителя подлежит отклонению, поскольку не свидетельствует об отсутствии их надлежащей судебной проверки и оценки. Приведенные в кассационной жалобе доводы не свидетельствуют о неправильном применении судами норм материального и процессуального права, повлиявшем на исход дела,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Несогласие заявителя с выводами судов, иная оценка им фактических обстоятельств дела,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«Петербургская эксплуатационная компания-1»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