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«Ярбункер» и общество с ограниченной ответственностью «Экон» обратились в Арбитражный суд города Москвы с иском к обществу с ограниченной ответственностью коммерческий банк «БФГ-Кредит» (далее - банк) и обществу с ограниченной ответственностью «Ардекс» о признании недействительными договоров займа от 12.02.2016, заключенных между ООО «Ярбункер» и ООО «Ардекс» и между ООО «Экон» и ООО «Ардекс»; признании недействительными кредитного договора от 12.02.2016 № 2523, заключенного между банком и ООО «Ярбункер», и кредитного договора от 12.02.2016 № 2526, заключенного между банком и ООО «Экон»; применении последствий недействительности сделок – восстановлении первоначальной задолженности ООО «Ардекс» перед банком. Определением Арбитражного суда города Москвы от 10.03.2020, оставленным без изменения постановлением Девятого арбитражного 2 апелляционного суда от 07.07.2020, заявленные требования выделены в отдельные производства. В рамках настоящего дела рассмотрено требование ООО «Ярбункер» к ООО «Ардекс» о признании недействительным договора займа от 12.02.2016 и применении последствий недействительности сделки. Решением Арбитражного суда города Москвы от 14.09.2020 в удовлетворении иска отказано. Постановлением Девятого арбитражного апелляционного суда от 23.12.2020 решение суда первой инстанции оставлено без изменения. Арбитражный суд Московского округа постановлением от 15.04.2021 указанные судебные акты оставил без изменения. Общество с ограниченной ответственностью «Экон»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166, 170, 181, 199, 200, 807, 809, 819 Гражданского кодекса Российской Федерации, суды пришли к выводу о пропуске истцом срока исковой давности, поскольку истец, являясь стороной спорного договора займа, должен был узнать о нарушении своих прав со дня заключения данного договора. При разрешении спора судами установлено, что до признания судом по делу № А40-163846/2016 соглашений о переводе долга от 01.04.2016 недействительными истец не заявлял о признании недействительным спорного договора займа, несмотря на то обстоятельство, что воля сторон изначально была направлена на заключение притворных сделок, действия истца расценены судами как злоупотребление 3 правом с целью снятия с себя рисков хозяйственной деятельности, которые наступили после признания соглашений о переводе долга от 01.04.2016 недействительными. Доводы, изложенные в кассационной жалобе, являлись предметом рассмотрения судов и мотивированно отклонены. Эти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связанных с выделением требований в отдельные производства,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«Ярбункер»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