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«Ярбункер» и общество с ограниченной ответственностью «Экон» обратились в Арбитражный суд города Москвы с иском к обществу с ограниченной ответственностью коммерческий банк «БФГ-Кредит» (далее - банк) и обществу с ограниченной ответственностью «Ардекс» о признании недействительными договоров займа от 12.02.2016, заключенных между ООО «Ярбункер» и ООО «Ардекс» и между ООО «Экон» и ООО «Ардекс»; признании недействительными кредитного договора от 12.02.2016 № 2523, заключенного между банком и ООО «Ярбункер», и кредитного договора от 12.02.2016 № 2526, заключенного между банком и ООО «Экон»; применении последствий недействительности сделок – восстановлении первоначальной задолженности ООО «Ардекс» перед банком. Определением Арбитражного суда города Москвы от 10.03.2020, оставленным без изменения постановлением Девятого арбитражного 2 апелляционного суда от 07.07.2020, заявленные требования выделены в отдельные производства. В рамках настоящего дела рассмотрено требование ООО «Экон» к ООО «Ардекс» о признании недействительным договора займа от 12.02.2016 и применении последствий недействительности сделки. Решением Арбитражного суда города Москвы от 14.09.2020 в удовлетворении иска отказано. Постановлением Девятого арбитражного апелляционного суда от 21.12.2020 решение суда первой инстанции оставлено без изменения. Арбитражный суд Московского округа постановлением от 07.05.2021 указанные судебные акты оставил без изменения. Общество с ограниченной ответственностью «Экон»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166, 170, 181, 199, 200, 807, 809, 819 Гражданского кодекса Российской Федерации, суды пришли к выводу о пропуске истцом срока исковой давности, поскольку истец, являясь стороной спорного договора займа, должен был узнать о нарушении своих прав со дня заключения данного договора. При разрешении спора судами установлено, что до признания судом по делу № А40-163846/2016 соглашений о переводе долга от 01.04.2016 недействительными истец не заявлял о признании недействительным спорного договора займа, несмотря на то обстоятельство, что воля сторон изначально была направлена на заключение притворных сделок, действия истца расценены судами как злоупотребление 3 правом с целью снятия с себя рисков хозяйственной деятельности, которые наступили после признания соглашений о переводе долга от 01.04.2016 недействительными. Доводы, изложенные в кассационной жалобе, являлись предметом рассмотрения судов и мотивированно отклонены. Эти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связанных с выделением требований в отдельные производства,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