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20.10.2020, оставленным без изменения постановлением Девятого арбитражного апелляционного суда от 25.01.2021 и постановлением Арбитражного суда Московского округа от 27.04.2021, с общества в пользу компании взыскано 69 920 757 руб. 01 коп. стоимости неотделимых улучшений, 7 625 227 руб. 81 коп. процентов 2 за пользование чужими денежными средствами,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незаконность указанных судебных актов, просит их отменить и направить дело на новое рассмотрение в Арбитражный суд города Москвы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протолковав условия заключенного сторонами договора аренды, руководствуясь статьями 309, 310, 395, 421, 431, 450.1, 606, 614, 623, 1102 Гражданского кодекса Российской Федерации, установив факт выполнения компанией (арендатор) по согласованию с обществом (арендодатель) работ и возврата после расторжения арендодателем договора арендованного имущества с произведенными неотделимыми улучшениями; отсутствие у арендодателя оснований для досрочного расторжения договора на момент направления в адрес арендатора соответствующего уведомления в связи с несоответствием действительности изложенных в нем обстоятельств, суды первой и апелляционной инстанций пришли к выводу о том, что общество неосновательно приобрело в собственность произведенные компанией неотделимые улучшения и удовлетворили исковые требования в части взыскания их стоимости и процентов за пользование чужими денежными средствами, с чем впоследствии согласился суд округа. Довод заявителя о нарушении судами положений статьи 69 Арбитражного процессуального кодекса Российской Федерации не нашел своего подтверждения. Изложенные в кассационной жалобе доводы не свидетельствуют о наличии существенных нарушений норм материального права и (или) процессуального права, повлиявших на исход дела, и не могут служить достаточными основаниями для отмены обжалуемых судебных актов, принятых исходя из конкретных обстоятельств спора.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«Арсенал»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