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20.07.2021 (согласно штампу приемной Верховного Суда Российской Федерации) обратилось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В обоснование ходатайства заявитель ссылается на получение копии постановления суда округа 04.05.2021.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20.04.2021, срок на обжалование которого истек 21.06.2021. 2 Обратившись с кассационной жалобой 20.07.2021,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3 Общество извещено о судебном разбирательстве в судах трех инстанций, представитель заявителя участвовал в судебных заседаниях в судах первой и апелляционной инстанций. С полным текстом последнего обжалуемого судебного акта - постановления суда округа от 20.04.2021 заявитель мог ознакомиться 21.04.2021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Довод заявителя о получении копии судебного акта 04.05.2021 отклоняется, поскольку постановление суда округа было надлежащим образом размещено 21.04.2021 на официальном сайте.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Кроме того,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4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«ФортеИнвест»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28.08.2020, постановление Девятого арбитражного апелляционного суда от 21.12.2020 и постановление Арбитражного суда Московского округа от 20.04.2021 по делу № А40-97588/2020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