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– Чувашии от 18.09.2020, оставленным без изменения постановлением Первого арбитражного апелляционного суда от 17.12.2020 и постановлением Арбитражного суда Волго-Вятского округа от 26.03.2021, исковые требования удовлетворены. В кассационной жалобе, поданной в Верховный Суд Российской Федерации, банк, ссылаясь на нарушение судами норм права, просит отменить 2 указанные судебные акты и принять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делу, и доводов кассационной жалобы заявителя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при рассмотрении дела № А79-2220/2016, руководствуясь статьями 309, 384 Гражданского кодекса Российской Федерации,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суды первой и апелляционной инстанций, с которыми впоследствии согласился суд округа, пришли к выводу о наличии оснований для удовлетворения исковых требований, исходя из доказанности обязанности ответчика по оплате спорной задолженности. Выводы судов подробно мотивированы в обжалуемых судебных актах. Доводы заявителя кассационной жалобы фактически сводятся к изложению обстоятельств дела, которые были предметом исследования и оценки судов, не опровергают выводы судов, не подтверждают существенных нарушений судами норм материального и процессуального права, повлиявших на исход дела, и не могут служить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«Московский Индустриальный банк»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