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21.09.2020, оставленным без изменения постановлением Девятого арбитражного апелляционного суда от 18.12.2020 и постановлением Арбитражного суда Московского округа от 07.04.2021, первоначальные исковые требования удовлетворены частично, с общества в пользу предприятия взыскано 20 000 000 руб. неосновательного обогащения, 53 426 руб. 66 коп. процентов за пользование чужими денежными 2 средствами, проценты на сумму неосновательного обогащения за период с 19.03.2020 по дату фактической оплаты. В удовлетворении остальной части первоначальных требований и в удовлетворении встречных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удовлетворения первоначальных требований, отказа в удовлетворении встречных требований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Как следует из судебных актов, предъявленные взаимные требования предприятия (заказчик) и общества (подрядчик) основаны на контракте от 26.06.2018 № 1806-10-СМР (СУБ), от исполнения которого заказчик отказался в одностороннем порядке в связи с нарушением подрядчиком сроков выполнения работ.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предприятием в пользу общества денежных средств по контракту, его прекращения и отсутствие доказательств надлежащего выполнения обществом работ либо возврата суммы полученных им денежных средств, руководствуясь статьями 309, 310, 395, 421, 453, 740, 753, 1102, 1107 Гражданского кодекса Российской Федерации, суды первой и апелляционной инстанций пришли к выводу о наличии оснований для взыскания с общества неосновательного обогащения и процентов за пользование чужими денежными средствами (с учетом корректировки их расчета) и необоснованности встречных требований. Суд округа согласился с выводами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«СК «Северо-Запад»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