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к обществу с ограниченной ответственностью «Строительная компания «Столица» (далее - компания) о взыскании задолженности по агентскому договору от 20.04.2017 № 07 в размере 1 299 200 руб. и процентов в размере 5 339 руб. 17 коп. по состоянию на 08.11.2018. Решением Арбитражного суда города Москвы от 31.01.2019 исковые требования удовлетворены. Девятый арбитражный апелляционный суд определением от 29.05.2019 перешел к рассмотрению дела по правилам суда первой инстанции; постановлением от 21.11.2019 отменил решение суда первой инстанции и удовлетворил исковые требования. Общество с ограниченной ответственностью «Юридический центр «Деловой Дом» и компания в лице конкурсного управляющего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обратились в Девятый арбитражный апелляционный суд с апелляционной жалобой. 2 Постановлением Девятого арбитражного апелляционного суда от 25.11.2020, оставленным без изменения постановлением Арбитражного суда Московского округа от 29.03.2021, исковые требования оставлены без удовлетворения. В кассационной жалобе, поданной в Верховный Суд Российской Федерации, общество просит отменить указанные судебные акты как незаконные и противоречащие судебной практике.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требования общества (принципал) мотивированы отсутствием у компании (агент) оснований для удержания полученной предварительной оплаты по агентскому договору от 20.04.2017 № 07, поскольку данный договор совершен для вида, без намерения создать соответствующие правовые последствия.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 апелляционной инстанции установил, что стороны приступили к исполнению договора и на момент его расторжения по инициативе общества им были приняты оказанные компанией услуги на спорную сумму. При таких обстоятельствах, руководствуясь статьями 166, 167, 170, 1102, 1109 Гражданского кодекса Российской Федерации, суд пришел к выводу о реальности договорных отношений между сторонами и исполнении ответчиком обязательств на сумму аванса, в связи с чем не усмотрел оснований для удовлетворения исковых требований. С выводами апелляционного суда впоследствии согласился суд округа. Позиция, изложенная в судебном акте по другому делу со схожими обстоятельствами, не формирует судебной практики, поэтому ссылка заявителя на противоречие ей обжалуемых судебных актов не корректна и не влияет на их судьбу на стадии кассационного производства в Верховном Суде Российской Федерации. Поскольку доводы кассационной жалобы не подтверждают существенные нарушения норм материального и (или) процессуального права, которые могли повлиять на исход дела, они не являются достаточным основанием для пересмотра обжалуемых судебных актов в кассационном порядке.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«Лидер-Инвест»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