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открытое акционерное общество «Российские железные дороги» обратилось в Арбитражный суд Ульяновской области с иском о взыскании с общества с ограниченной ответственностью «Грузовая корпорация» 1 433 360 рублей штрафа за превышение грузоподъемности (перегруз) вагона и искажение сведений в транспортной железнодорожной накладной. Решением Арбитражного суда Ульяновской области от 07.09.2020 иск удовлетворен. Постановлением Одиннадцатого арбитражного апелляционного суда от 15.12.2020 решение суда первой инстанции оставлено без изменения. Арбитражный суд Поволжского округа постановлением от 08.04.2021 указанные судебные акты оставил без изменения. Общество с ограниченной ответственностью «Грузовая корпорация»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2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что излишек массы груза превышает значение допустимой погрешности расхождения массы груза, определенной грузоотправителем и перевозчиком, признав доказанными факт превышения фактической массы груза над грузоподъемностью вагона и указание недостоверных сведений в железнодорожной транспортной накладной, руководствуясь положениями статей 784, 785, 793 Гражданского кодекса Российской Федерации, статей 26, 27, 98, 102 Федерального закона от 10.01.2003 № 18-ФЗ «Устав железнодорожного транспорта Российской Федерации», суды пришли к выводу о наличии оснований для взыскания штрафа, не установив оснований для применения статьи 333 Гражданского кодекса Российской Федерации. Довод жалобы о необходимости снижения размера штрафа в связи с тяжелым финансовым положением был рассмотрен судами и ввиду отсутствия доказательств мотивированно отклонен.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Эти доводы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«Грузовая корпорация»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