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30.07.2020, оставленным без изменения постановлением Девятого арбитражного апелляционного суда от 08.12.2020 и постановлением Арбитражного суда Московского округа от 29.03.2021, в удовлетворении иска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проверив расчет сальдо встречных обязательств по договору лизинга, установив, что финансовый результат сделки составляет убыток для ответчика (лизингодателя), руководствуясь статьями 309, 310, 624, 655, 1102 Гражданского кодекса Российской Федерации, положениями Федерального закона от 29.10.1998 № 164-ФЗ «О финансовой аренде (лизинге)»,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суды первой и апелляционной инстанций пришли к выводу об отсутствии на стороне последнего неосновательного обогащения и отказали в удовлетворении иска, с чем впоследствии согласился суд округа. Доводы заявителя являлись предметом рассмотрения судебных инстанций, получили правовую оценку и по существу направлены на иную оценку доказательств и фактических обстоятельств дела. Изложенные в кассационной жалобе доводы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«Главный капитал»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