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«Техностройинжиниринг» (далее – Общество) обратилось в Арбитражный суд города Москвы с иском к федеральному государственному унитарному предприятию «Главное военно- строительное управление № 7» (далее – Предприятие) о признании права на досрочное исполнение ответчиком обязательства перед истцом по выплате 17 820 948 рублей 34 копеек. Решением Арбитражного суда города Москвы от 28.08.2020, оставленным без изменения постановлением Девятого арбитражного апелляционного суда от 25.11.2020 и постановлением Арбитражного суда Московского округа от 23.03.2021,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неправомерно отказали в применении гарантий, предусмотренных статьей 60 2 Гражданского кодекса Российской Федерации (далее – Гражданский кодекс) для кредиторов реорганизуемого юридического лица. Также Общество ссылается на неправомерность отказа в принятии уточненного иска.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Общество указало, что по его искам с Предприятия решениями суда были взысканы денежные средства, в связи с чем общий размер задолженности составил 17 820 948 рублей 34 копеек (дела А40-210036/2018 и А40-239781/2018). Судом на принудительное исполнение указанных судебных актов выданы исполнительные листы. Между тем конкурсным управляющим Общества получено уведомление от 21.04.2020 № 64/1468 о реорганизации Предприятия путем присоединения к федеральному государственному унитарному предприятию «Главное военно- строительное управление № 14». В соответствии с пунктом 7 статьи 29 Федерального закона от 14.11.2002 № 161-ФЗ «О государственных и муниципальных унитарных предприятиях», кредиторы унитарного предприятия в течение тридцати дней с даты направления им уведомления или в течение тридцати дней с даты опубликования сообщения о решении о реорганизации вправе в письменной форме потребовать прекращения или досрочного исполнения соответствующих обязательств унитарного предприятия и возмещения им убытков. Ссылаясь на указанные обстоятельства,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12, 60, 309, 310 Гражданского кодекса, суды отказали в удовлетворении требований, исходя из того, что названными выше решениями суд установил факт просрочки, в связи с чем срок исполнения обязательства по оплате задолженности и процентов к моменту направления ответчиком в адрес истца уведомления о реорганизации наступил, отметив, что положения статьи 60 Гражданского кодекса предусматривают названные гарантии лишь для тех кредиторов реорганизуемого юридического лица, срок исполнения обязательств перед которыми к моменту опубликования уведомления о реорганизации не наступил. 3 В силу статьи 58 Гражданского кодекса при реорганизации юридического лица в форме присоединения его к другому юридическому лицу правопреемство наступает в силу закона; права и обязанности реорганизованного юридического лица переходят к его правопреемнику в неизменном виде. Кроме того, истцом не была доказана невозможность исполнения решений суда.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«Техностройинжиниринг»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