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(далее – Кодекс)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2 рассматривающим кассационную жалобу, при условии, что ходатайство подано не позднее шести месяцев со дня вступления в законную силу обжалуемого судного акта. Последним обжалуемым заявителем судебным актом является постановление Арбитражного суда Северо-Западного округа от 23.01.2021. Настоящая кассационная жалоба вместе с ходатайством о восстановлении пропущенного срока подана в Верховный Суд Российской Федерации согласно почтовому штемпелю на конверте только 15.07.2021, то есть за пределами процессуального двухмесячного срока. В ходатайстве о восстановлении пропущенного срока заявитель ссылается на свою нетрудоспособность в период с 11.03.2021 по 18.03.2021 и с 07.05.2021 по 21.05.2021, отсутствие юридического образования. Однако названные обстоятельства не могут быть признаны уважительными, поскольку не свидетельствуют об отсутствии объективной возможности для совершения предусмотренных законом процессуальных действий. Из обжалуемых судебных актов следует, что Ластова Е.Н. принимала участие в заседаниях судов апелляционной инстанции и округа, а также являлась представителем и генеральным директором общества с ограниченной ответственностью «МегаСтрой», которое в свою очередь является инициатором обжалования судебных актов судов первой и апелляционной инстанций; постановление суда округа от 23.01.2021 опубликовано в сети интернет 24.01.2021. Таким образом, заявитель обладал информацией о состоявшемся судебном акте, его содержании и при проявлении достаточной степени заботливости и разумной осмотрительности имел значительный промежуток времени для подготовки и подачи соответствующей жалобы в предусмотренный законодательством срок. Ластова Е.Н. не обосновала причины, объективно воспрепятствовавшие подаче кассационной жалобы в Верховный Суд Российской Федерации в установленный законом срок (с 24.01.2021 по 23.03.2021 включительно). Согласно статье 9 Кодекса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Кодекса. При таких обстоятельствах ходатайство о восстановлении пропущенного срока следует оставить без удовлетворения, а 3 кассационную жалобу – возвратить заявителю. Руководствуясь статьями 117,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Возвратить Ластовой Елене Николаевне кассационную жалобу на определение Арбитражного суда города Санкт-Петербурга и Ленинградской области от 11.06.2020, постановление Тринадцатого арбитражного апелляционного суда от 07.10.2020 и постановление Арбитражного суда Северо-Западного округа от 23.01.2021 по делу № А56-33618/2017. Судья Верховного Суда Букина И.А.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