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«СтройИнвест» (далее – Общество) обратилось в Арбитражный суд города Москвы с иском к обществу с ограниченной ответственностью «ПромСтройКомплект» о признании недействительным акта зачета взаимных требований от 31.10.2019. Решением Арбитражного суда города Москвы от 19.10.2020, оставленным без изменения постановлением Девятого арбитражного апелляционного суда от 24.12.2020 и постановлением Арбитражного суда Московского округа от 22.03.2021,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одновременно заявив ходатайство о восстановлении пропущенного срока на ее подачу. Согласно части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2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АПК РФ (часть 3 статьи 291.2 того же Кодекса).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АПК РФ предельные допустимые сроки для его восстановления. Принимая во внимание, что ходатайство о восстановлении пропущенного процессуального срока заявлено Обществом в пределах установленного предельного срока, изложенные в нем причины признаны судом уважительными, данное ходатайство подлежит удовлетворению на основании части 2 статьи 291.2 АПК РФ. Учитывая изложенное, суд полагает возможным восстановить срок подачи кассационной жалобы.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«СтройИнвест». Срок подачи кассационной жалобы на решение Арбитражного суда города Москвы от 19.10.2020, постановление Девятого арбитражного апелляционного суда от 24.12.2020 и постановление Арбитражного суда Московского округа от 22.03.2021 по делу № А40-27744/2020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