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08.12.2020, оставленным без изменения постановлением Одиннадцатого арбитражного апелляционного суда от 24.02.2021 и постановлением Арбитражного суда Поволжского округа от 25.05.2021, с общества в пользу управления взыскано 50 000 руб., в удовлетворении остальной части исковых требований отказано. В кассационной жалобе, поданной в Верховный Суд Российской Федерации, управление, ссылаясь на нарушение судами норм права, просит отменить указанные судебные акты и принять новый судебный акт об удовлетворении исковых требований в полном объеме. 2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Требования управления (подрядчик) мотивированы ненадлежащим исполнением обществом (субподрядчик) обязательств по договору субподряда от 16.02.2017 № 8/2017-суб. Разрешая спор и частично удовлетворяя исковые требования, суд руководствовался статьями 307, 309, 329, 330, 401, 706, 751 Гражданского кодекса Российской Федерации,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и исходил из обоснованности начисления ответчику неустойки (штрафа), наличия оснований для снижения ее размера по заявлению последнего, а также недоказанности совокупности условий, необходимых для взыскания с общества убытков. Доводы кассационной жалобы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«Строительное управление № 7»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