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30.09.2020, оставленным без изменения постановлением Двенадцатого арбитражного апелляционного суда от 15.12.2020 и постановлением Арбитражного суда Поволжского округа от 26.03.2021,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по вопросам правильности исчисления и своевременности уплаты (удержания, перечисления) обществом налогов и сборов за период с 01.01.2015 по 31.12.2017, страховых взносов за период с 01.01.2017 по 31.12.2017, о чем составлен акт от 19.04.2019 № 11/12. По результатам рассмотрения акта и материалов проверки налоговым органом вынесено решение о привлечении общества к налоговой ответственности в виде штрафа на сумму 105 087 рублей, доначислен налог на добавленную стоимость (далее - НДС) в сумме 5 185 548 рублей, пени в сумме 1 372 392 рублей 94 копеек. Основанием для доначисления налога послужил вывод инспекции о неправомерном применении обществом налоговых вычетов по НДС на основании счетов-фактур, выставленных ООО «Крафтер». Не согласившись с решением инспекции,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Налогового кодекса Российской Федерации, учитывая разъяснения, изложенные в постановлении Пленума Верховного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том, что решение инспекции соответствует действующему законодательству и не нарушает права и законные интересы общества, с чем согласился суд округа. Судебные инстанции установили, что обществом и ООО «Крафтер» заключен договор транспортной экспедиции от 15.03.2016 № 04-150-16, по условиям которого ООО «Крафтер» (экспедитор) обязуется организовать перевозку грузов и вправе привлекать третьих лиц к исполнению обязанностей по заключенному договору. На основании счетов-фактур, выставленных ООО «Крафтер», общество заявило налоговые вычеты по НДС. При этом денежные средства за оказанные услуги перечислялись транзитным способом между организациями к конечным экспедиторам - предпринимателям; фактически транспортные услуги оказаны обществу индивидуальными предпринимателями, применяющими специальные налоговые режимы и не являющимися плательщиками НДС. Установив указанные обстоятельства, суды согласились с выводом налогового органа о необоснованном применении обществом налоговых вычетов, в связи с чем признали решение инспекции законным. Доводы жалобы являлись предметом рассмотрения судов и им дана надлежащая правовая оценка. Приведенные заявителем доводы не свидетельствуют о существенных нарушениях норм материального и процессуального права, которые повлияли на исход дела, направлены на переоценку установленных обстоятельств,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«Свинокомплекс Хвалынский»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"Свинокомплекс Хвалынский" (подробнее) Ответчики: МРИ ФНС №7 по Саратовской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