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05.08.2020, оставленным без изменения постановлением Седьмого арбитражного апелляционного суда от 25.11.2020 и постановлением Арбитражного суда Западно-Сибирского округа от 23.03.2021, исковое заявление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отказать в удовлетворении искового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транспортной организацией, осуществляющей перевозку пассажиров, багажа и грузобагажа железнодорожным транспортом в поездах дальнего следования по территории Российской Федерации и в международном сообщении. Во исполнение заключенного 12.03.1993 сторонами соглашения о взаимном признании прав на льготный проезд для инвалидов и участников Великой Отечественной войны, а также лиц, приравненных к ним (далее - соглашение), обществом в период с 2018 по 2019 годы лицам, указанным в соглашении, на территории Новосибирской, Омской областей и Алтайского края оформлялись проездные документы без оплаты либо с оплатой 50% стоимости проезда. При оказании услуг при перевозке железнодорожным транспортом льготной категории граждан в соответствии с соглашением от 12.03.1993 обществом недополучено 57 948 рублей 30 копеек доходов. Неисполнение министерством претензии общества о возмещении убытков в виде недополученного дохода в связи с перевозкой льготной категории граждан явилось основанием для обращения в арбитражный суд. Рассматривая спор, суды первой и апелляционной инстанций, руководствуясь положениями Гражданского кодекса Российской Федерации, Бюджетного кодекса Российской Федерации, Федерального закона от 10.01.2003 № 17-ФЗ «О железнодорожном транспорте», Федерального закона от 05.12.2017 № 362-ФЗ «О федеральном бюджете на 2018 год и на плановый период 2019 и 2020 годов», Федерального закона от 29.11.2018 № 459-ФЗ «О федеральном бюджете на 2019 год и на плановый период 2020 и 2021 годов», Правилами перевозок пассажиров, багажа и грузобагажа железнодорожным транспортом, утвержденными приказом Министерства транспорта Российской Федерации от 19.12.2013 № 473, учитывая разъяснения, изложенные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 наличии оснований для удовлетворения искового требования, с чем согласился суд округа. Судебные инстанции исходили из доказанности на стороне истца заявленных сумм убытков, факта их причинения вследствие действий 3 государственных органов, выраженных в необеспечении реализации льгот, предусмотренных федеральным законодательством, невозмещении их стоимости истцу. Расчет заявленных убытков проверен и признан верным.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министерства,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