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30.09.2020, оставленным без изменения постановлением Семнадцатого арбитражного апелляционного суда от 23.12.2020 и постановлением Арбитражного суда Уральского округа от 07.04.2021,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Федерации,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(покупатель) мотивированы тем, что компания (продавец) не произвела в полном объеме возврат денежных средств за возвращенный ей некачественный товар, на транспортировку которого обществом понесены расходы.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309, 310, 432, 434, 438, 456, 469, 470, 475, 483, 506, 513, 518 Гражданского кодекса Российской Федерации, разъяснениями, приведенными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первой и апелляционной инстанции пришли к выводу об отсутствии оснований для удовлетворения исковых требований. В частности, суды исходили из того, что стоимость продукции, возвращенной обществом и непринятой компанией по причине обнаруженных дефектов, исключающих дальнейшую эксплуатацию, превышает размер задолженности последней, а поскольку обязанность по оплате возвращенной обществом продукции исполнена компанией в полном объеме, оснований для взыскания с нее задолженности и процентов за пользование чужими денежными средствами не имеется; согласно договоренности сторон доставка продукции от компании обществу осуществлялась последним самостоятельно и за свой счет, компания не принимала на себя обязательства по доставке товара обществу либо по оплате ее стоимости, кроме того, часть продукции осталась в распоряжении общества, поэтому его расходы при первичной транспортировке товара не могут быть возложены на компанию; так как сторонами соглашение об оплате стоимости транспортировки возвращаемой продукции от общества к компании не достигалось, а из содержания их переписки следует, что обязательство по организации доставки товара компании и оплате ее стоимости было принято на себя самим обществом, его требование о возмещении стоимости такой доставки является необоснованным. Суд округа согласился с выводами судов первой и апелляционной инстанций. 3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«Гидроэнергокомплект»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