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29.06.2020 иск удовлетворен. Постановлением Пятого арбитражного апелляционного суда от 09.12.2020 решение суда первой инстанции изменено, с корпорации в пользу общества взыскано 423 466 руб. неустойки, в удовлетворении остальной части иска отказано. Постановлением Арбитражного суда Дальневосточного округа от 31.03.2021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апелляционным и окружным судами норм материального и процессуального права, просит отменить их постановления и оставить в силе решение суда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и протолковав условия заключенного сторонами договора, суд апелляционной инстанции пришел к выводу о том, что обществу (заказчик) надлежало исчислять неустойку исходя из стоимости невыполненных корпорацией (генеральный подрядчик) работ по этапу в предусмотренные графиком производства работ сроки. При таких обстоятельствах, не установив вины корпорации в допущенной просрочке выполнения работ по этапам №№ 4, 5, 7, 11, 14, суд произвел перерасчет неустойки и, руководствуясь статьями 309, 310, 329, 330, 401, 404, 421, 422, 431, 702, 708, 718, 740 Гражданского кодекса Российской Федерации, удовлетворил иск частично, с чем впоследствии согласился суд округа. Довод заявителя о нарушении апелляционным судом норм процессуального права, выразившегося в приобщении к материалам дела дополнительных доказательств, был предметом исследования и оценки суда округа и мотивировано отклонен. Доводы кассационной жалобы не опровергают выводы апелляционного и окружного судов,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«Ареал-Недвижимость»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