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26.08.2020, оставленным без изменения постановлением Девятого арбитражного апелляционного суда от 03.12.2020 и постановлением Арбитражного суда Московского округа от 29.03.2021, в удовлетворении исковых требований отказано. В кассационной жалобе, поданной в Верховный Суд Российской Федерации, кооператив,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исковых требований, суды руководствовались положениями Федерального закона № 89-ФЗ «Об отходах производства и потребления»,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505, Правилами обращения с твердыми коммунальными отходами, утвержденными постановлением Правительства Российской Федерации от 12.11.2016 № 1156 и исходили из неподтвержденности истцом факта наличия у него отдельной контейнерной площадки и возможности осуществлять раздельный сбор твердых коммунальных отходов в контейнеры, расположенные в мусороприемных камерах спорного многоквартирного дома.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жилищно-строительного кооператива «Зенит»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