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«Ростовская компания «Автоперевозки» обратилось в Арбитражный суд города Москвы с иском о взыскании с федерального государственного унитарного предприятия «Инжтехцентр Минобороны России» 59 373 836 рублей 33 копеек неосновательного обогащения и 30 455 711 рублей 65 копеек процентов за пользование чужими денежными средствами. К участию в деле в качестве третьего лица, не заявляющего самостоятельных требований относительно предмета спора, привлечено Министерство обороны Российской Федерации. Решением Арбитражного суда города Москвы от 24.08.2020 в удовлетворении иска отказано. Постановлением Девятого арбитражного апелляционного суда от 04.12.2020 решение суда первой инстанции оставлено без изменения. Арбитражный суд Московского округа постановлением от 25.03.2021 указанные судебные акты оставил без изменения. 2 Общество с ограниченной ответственностью «Ростовская компания «Автоперевозки»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установив отсутствие у истца права требования к ответчику и недоказанность возникновения на стороне ответчика неосновательного обогащения, руководствуясь положениями статей 12, 1102 Гражданского кодекса Российской Федерации, суды пришли к выводу о необоснованности заявленного требования и, кроме того, с учетом положений статей 196, 199, 200 Гражданского кодекса Российской Федерации признали срок исковой давности пропущенным. Доводы, изложенные в кассационной жалобе, в том числе о необоснованном применении судом исковой давности приводились при рассмотрении дела, были рассмотрены судами и мотивированно отклонены.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«Ростовская компания «Автоперевозки»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