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первоначальная кассационная жалоба на указанные судебные акты возвращена письмом Верховного Суда Российской Федерации от 18.06.2021 на основании пункта 3 части 1 статьи 291.5 Арбитражного процессуального кодекса Российской Федерации в связи с пропуском срока подачи жалобы и отсутствием ходатайства о его восстановлении. Повторно кассационная жалоба подана посредством заполнения формы, размещенной на официальном сайте суда в информационно- телекоммуникационной сети «Интернет», 15.07.2021 – также с пропуском срока, установленного частью 1 статьи 291.2 АПК РФ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2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срока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по делу № А40-202501/2019 является постановление Арбитражного суда Московского округа от 12.03.2021, вступившее в законную силу, согласно части 5 статьи 289 АПК РФ, со дня его принятия – 12.03.2021, следовательно, двухмесячный срок на подачу кассационной жалобы истек 12.05.2021. Одновременно с подачей жалобы обществом заявлено ходатайство о восстановлении пропущенного процессуального срока. Однако причины пропуска срока заявителем не указаны. Лицо, ходатайствующее о восстановлении пропущенного срока, должно не только указать причины его пропуска, но и представить суду доказательства невозможности совершить соответствующее процессуальное действие в установленный срок. Никаких причин пропуска процессуального срока на подачу жалобы заявителем не приведено, в связи с чем не имеется оснований для его восстановления.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«Промконсервы» в удовлетворении ходатайства о восстановлении пропущенного процессуального срока подачи жалобы на определение Арбитражного суда города Москвы от 09.09.2020 по делу №А40-202501/2019, постановление Девятого арбитражного апелляционного суда от 17.12.2020 и постановление Арбитражного суда Московского округа от 12.03.2021 по тому же делу. Жалобу общества с ограниченной ответственностью «Промконсервы»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