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21.11.2019, оставленным без изменения постановлением Девятого арбитражного апелляционного суда от 17.02.2020, в удовлетворении искового заявления и встречного иска отказано. Определением Арбитражного суда Московского округа от 22.03.2021, оставленным без изменения определением суда округа от 21.04.2021, кассационная жалоба общества на судебные акты первой инстанции и апелляционного суда возвращена заявителю на основании пункта 2 части 1 статьи 281 Арбитражного процессуального кодекса Российской Федерации, в 2 связи с отказом в восстановлении пропущенного срока на подачу кассационной жалобы. В кассационной жалобе, поданной в Верховный Суд Российской Федерации, общество, ссылаясь на существенные нарушения норм права, просит отменить определения суда округа, восстановить срок подачи кассационной жалобы и направить дело в суд округа для ее рассмотрения.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ходатайства о восстановлении пропущенного процессуального срока и возвращая кассационную жалобу, суд округа, руководствуясь положениями пункта 2 части 1 статьи 281 Арбитражного процессуального кодекса Российской Федерации, учитывая разъяснения, приведенные в постановлении Пленума Высшего Арбитражного Суда Российской Федерации от 25.12.2013 № 99 «О процессуальных сроках», а также пункт 9.5 части 9 Инструкции по делопроизводству в арбитражных судах Российской Федерации (первой, апелляционной и кассационной инстанций), утвержденной Постановлением Пленума Высшего Арбитражного Суда Российской Федерации от 25.12.2013 № 100, исходил из того, что жалоба подана обществом за пределами срока на обжалование, уважительных причин пропуска срока судом не установлено. Суд также отметил, что заявителем допущена просрочка большей продолжительности по сравнению с просрочкой суда апелляционной инстанции на опубликование судебного акта, при этом каких-либо сведений о том, что заявитель не имел достаточного промежутка времени для подготовки и 3 подачи кассационной жалобы в предусмотренный процессуальным законодательством срок, в обоснование ходатайства не приведено. Доводы кассационной жалобы являлись предметом рассмотрения суда округа и получили надлежащую правовую оценку. Приведенные в жалобе доводы повторяют позицию заявителя, изложенную в суде округа, не подтверждают существенных нарушений норм процессуального права, основаны на ином их толковании, что в силу статьи 291.6 Арбитражного процессуального кодекса Российской Федерации не является основанием для отмены обжалуемых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«Югра»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