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Кизляр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23.11.2020, оставленным без изменения постановлениями Шестнадцатого арбитражного апелляционного суда от 08.02.2021 и Арбитражного суда Северо-Кавказского округа от 14.04.2021, в удовлетворении заявленных требований отказано. В кассационной жалобе администрация ставит вопрос об отмене принятых по делу судебных актов, ссылаясь на нарушение норм материального и 2 процессуального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плановой проверки целевого и эффективного использования средств, выделенных в 2018 году на реализацию муниципальной программы, счетной палатой выявлено завышение стоимости объемов оборудования и материалов подрядными организациями на 1 645 400 рублей вследствие неправомерного перевода стоимости материалов и оборудования с текущих цен в базисные цены 2001 года, в связи с чем вынесено представление, которым администрации предписано принять меры по обеспечению восстановления указанных средств (пункт 4). Невыполнение представления в установленный срок повлекло выдачу предписания от 10.01.2020 об устранении выявленных нарушений. Не соглашаясь с указанными ненормативными правовыми актами счетной палаты, администрация обратилась в арбитражный суд. Исследовав и оценив представленные в материалы дела доказательства, руководствуясь положениями Бюджетного кодекса Российской Федерации,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Положением о проведении проверки достоверности определения сметной стоимости объектов капитального строительства, строительство которых финансируется с привлечением средств федерального бюджета, утвержденным постановлением Правительства Российской Федерации от 18.05.2009 № 427, Методикой определения стоимости строительной продукции на территории Российской Федерации, утвержденной и введенной в действие постановлением Госстроя России от 05.03.2004 № 15/1, суды пришли к выводу об отсутствии оснований для удовлетворения заявленных требований. Признавая предписание счетной палаты соответствующим действующему законодательству и не нарушающим права и законные интересы заявителя, суды исходили из того, что использование различных индексов при определении полной сметной стоимости в базисном уровне цен с переводом в 3 текущий уровень цен и при определении стоимости материалов на основании текущих цен по прайс-листам с переводом в базисный уровень цен нормативно не установлен. Суды указали, что необоснованное использование заявителем различных индексов при переводе текущих цен на материалы в базисный уровень и при обратном переводе в текущий уровень цен привело к увеличению сметной стоимости работ. Такое применение различных индексов не соответствует, в том числе, принципу эффективного расходования средств федерального бюджета, в связи с чем не может быть признано соответствующим требованиям бюджетного законодательства. Отказывая в удовлетворении заявления в части признания недействительным пункта 4 представления счетной палаты, суды пришли к выводу о том, что заявителем пропущен установленный частью 4 статьи 198 Арбитражного процессуального кодекса трехмесячный срок его подачи. Доводы администрации относительно выводов судов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городского округа «Город Кизляр»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