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15.09.2020, оставленным без изменения постановлением Двадцатого арбитражного апелляционного суда от 30.11.2020, в удовлетворении искового заявления отказано. Постановлением Арбитражного суда Центрального округа от 05.04.2021 решение суда первой инстанции и постановление суда апелляционной инстанции отменены, исковые требования удовлетворены. В кассационной жалобе, поданной в Верховный Суд Российской Федерации, министерство, ссылаясь на существенное нарушение норм права, 2 просит отменить постановление суда округа, оставить в силе решение суда первой и постановление суда апелляционной инстанций.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31.03.2020 на официальном сайте и на электронной площадке размещено извещение о проведении электронного аукциона на право заключения контракта на выполнение работ по нанесению линий дорожной разметки термопластиком на территории муниципального образования «Город Калуга» и документация об электронном аукционе. Комиссией 17.04.2020 рассмотрены первые части заявок участников аукциона, все заявки допущены к участию, что отражено в протоколе от 17.04.2020 рассмотрения заявок на участие в электронном аукционе. По результатам рассмотрения вторых частей заявок единая комиссия признала заявку общества не соответствующей требованиям документации об аукционе в электронной форме, в связи с непредставлением копии исполненного контракта (договора). Победителем аукциона признана заявка ООО «Технопласт-СВ», с которым 08.05.2020 учреждением заключен договор (контракт) № 01372000012200014320001. Полагая, что заявка необоснованно признана не соответствующей требованиям документации об аукционе, общество обратилось в арбитражный суд. Отказывая в удовлетворении иска, суды первой и апелляционной инстанций исходили из того, что представленный в составе заявки договор субподряда не может подтверждать наличие опыта работы. Отменяя судебные акты и удовлетворяя требования, суд округа,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Постановлением Правительства Российской Федерации от 04.02.2015 № 99 «Об установлении дополнительных требований к участникам закупки отдельных видов товаров, работ, услуг, случаев отнесения товаров, работ, услуг к товарам, работам, услугам, которые по причине их технической и (или) технологической сложности, инновационного, высокотехнологичного или 3 специализированного характера способны поставить, выполнить, оказать только поставщики (подрядчики, исполнители), имеющие необходимый уровень квалификации, а также документов, подтверждающих соответствие участников закупки указанным дополнительным требованиям» (далее - Постановление № 99), учитывая разъяснения, изложенные в пункте 71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пришел к выводу о незаконности отклонения заявки общества. Суд округа указал, что действующее законодательство о контрактной системе в сфере закупок не предусматривает необходимость представления документов, подтверждающих опыт выполнения соответствующих работ исключительно в качестве генерального подрядчика, и, соответственно, для определения наличия у участника аукциона опыта по выполнению соответствующих работ не имеет значения в каком качестве он являлся их исполнителем, в качестве генподрядчика или субподрядчика. Суд также отметил, что представленный обществом договор субподряда являлся договором на выполнение работ по устройству дорожной разметки на автомобильных дорогах общего пользования регионального или межмуниципального значения, то есть таких же видов работ, что и по спорной закупке. Доводы, изложенные в кассационной жалобе, не опровергают выводы суда округа, основанные на нормах действующего законодательства и установленных по делу обстоятельствах. Несогласие заявителя жалобы с выводами суда округа, иная оценка им фактических обстоятельств дела и иное применение к ним положений закона, не означает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конкурентной политики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