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18.09.2020, оставленным без изменения постановлением Седьмого арбитражного апелляционного суда от 30.12.2020 и постановлением Арбитражного суда Западно-Сибирского округа от 15.04.2021, исковые требования удовлетворены. В кассационной жалобе, поданной в Верховный Суд Российской Федерации, ассоциация, ссылаясь на нарушение судами норм материального и процессуального права, просит отменить указанные судебные акты в части взыскания с нее денежных средств при их недостаточности в субсидиарном порядке и принять новый судебный акт. По смыслу части 1 статьи 291.1, части 7 статьи 291.6, статьи 291.11 Арбитражного процессуального кодекса Российской Федерации,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Суды первой и апелляционной инстанций, руководствуясь статьями 15, 1064, 1081 Гражданского кодекса Российской Федерации, положениями Градостроительного кодекса Российской Федерации, Федерального закона от 01.12.2007 № 315-ФЗ «О саморегулируемых организациях», учитывая обстоятельства, установленные вступившим в законную силу судебным актом по делу № А45-19284/2019, принимая во внимание, что фонд возместил собственнику помещения ущерб, причиненный обществом, которое на момент причинения ущерба являлось членом ассоциации, пришли к выводу о субсидиарном взыскании с ассоциации суммы убытков при недостаточности у общества денежных средств. Суд округа поддержал выводы судов первой и апелляционной инстанций. Доводы кассационной жалобы сводятся к изложению обстоятельств дела, которые были предметом исследования судов, не опровергают выводы судов, не подтверждают существенных нарушений ими норм материального и (или) процессуального права и не являются основанием для передачи жалобы на рассмотрение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ассоциации профессиональных строителей Сибири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