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06.10.2020, оставленным без изменения постановлением Девятого арбитражного апелляционного суда от 18.01.2021 и постановлением Арбитражного суда Московского округа от 02.04.2021,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тем, что в результате ненадлежащего исполнения обществом обязательств по договору от 11.12.2019 № 2019.488049 на оказание услуг по уборке завод был вынужден расторгнуть названный договор и заключить аналогичный договор с иным лицом по более высокой цене, что привело к возникновению убытков.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неисполнения обществом условий договора и причинения заводу убытков, выразившихся в необходимости заключения аналогичного договора по более высокой цене и связанных с недобросовестными действиями (бездействием) общества, руководствуясь статьями 309, 310, 330, 393, 393.1, 779, 781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отклонив заявление общества о применении положений статьи 333 Гражданского кодекса Российской Федерации.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по существу направлены на переоценку доказательств и фактических обстоятельств дела,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«Ревер»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