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22.06.2020 в удовлетворении исковых требований отказано. Постановлением Десятого арбитражного апелляционного суда от 30.11.2020 решение суда первой инстанции отменено; принят отказ компании от требований в части взыскания 237 817 руб. 31 коп. задолженности и 27 063 руб. 85 коп. неустойки, производство по делу в указанной части прекращено; с общества в пользу компании взыскано 1 157 412 руб. 22 коп. долга, 101 906 руб. 04 коп. неустойки. Постановлением Арбитражного суда Московского округа от 01.04.2021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незаконность постановлений апелляционного и окружного судов, просит их отменить и оставить в силе решение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удовлетворяя исковые требования, суд апелляционной инстанции,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182, 454, 486, 488, 506 Гражданского кодекса Российской Федерации, исходил доказанности истцом факта поставки товара ответчику и отсутствия доказательств его оплаты. Суд округа поддержал выводы апелляционного суда. Доводы кассационной жалобы не могут быть признаны основанием для отмены обжалуемых судебных актов в кассационном порядке, поскольку не свидетельствуют о нарушении судами норм материального и (или) процессуального права, повлиявших на исход дела, а связаны с оценкой фактических обстоятельств дела и представленных сторонами доказательств, что не отнесено к полномочиям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«СпецИнжСтрой»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