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31.07.2020, оставленным без изменения постановлением Девятого арбитражного апелляционного суда от 25.11.2020 и постановлением Арбитражного суда Московского округа от 29.03.2021, в удовлетворении исковых требований отказано. В кассационной жалобе, поданной в Верховный Суд Российской Федерации, предприниматель, ссылаясь на несоответствие выводов судов фактическим обстоятельствам дела,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Как следует из судебных актов, исковые требования предпринимателя (исполнитель) мотивированы неисполнением обществом (заказчик) обязательств по оплате услуг, оказанных в рамках договора от 15.09.2017 № 11-09/17-1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руководствуясь статьями 309, 310, 421, 424, 432, 779, 781 Гражданского кодекса Российской Федерации, исходя из непредставления предпринимателем допустимых доказательств направления обществу актов приема-передачи и оказания ему каких-либо услуг, как и доказательств передачи последним заявок, являющихся в соответствии с условиями договора основанием для оказания услуг, а также согласования с ответчиком цены договора, суды первой и апелляционной инстанции пришли к выводу о недоказанности истцом обстоятельств, на которых основаны его требования, в связи с чем отказали в их удовлетворении. С указанными выводами впоследствии согласился суд округа. Приведенные в кассационной жалобе доводы по существу свидетельствуют о несогласии с выводами судов, основанными на оценке представленных в материалы дела доказательств и фактических обстоятельств спора, при этом существенных нарушений норм материального и процессуального права, которые могли повлиять на исход дела, эти доводы не подтверждают, в связи с чем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Андреасян Анны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