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15.09.2020, оставленным без изменения постановлением Восьмого арбитражного апелляционного суда от 25.11.2020 и постановлением Арбитражного суда Западно-Сибирского округа от 22.03.2021, в удовлетворении требования отказано. 2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09.06.2020 управлением контрактной системы в единой информационной системе в сфере закупок опубликовано извещение № 0152200004720000734 и документация о проведении электронного аукциона на выполнение работ по строительству объекта «Автомобильные дороги жилого микрорайона «Павловский» в р.п. Русская Поляна Русско-Полянского района Омской области». Для участников закупки аукционной документацией установлено требование о наличии за последние три года до даты подачи заявки на участие в закупке опыта исполнения (с учетом правопреемства) одного контракта (договора) на выполнение работ по строительству, реконструкции, капитальному ремонту, сносу линейного объекта. Согласно протоколу рассмотрения единственной заявки на участие в электронном аукционе от 23.06.2020 заявка предприятия признана не соответствующей требованиям документации об электронном аукционе. Не согласившись с указанными действиями управления контрактной системы, предприятие обратилось с жалобой в управление. Решением антимонопольного органа от 03.07.2020 № 055/06/69-671/2020 жалоба предприятия признана необоснованной. Считая свои права нарушенными, общество обратилось в арбитражный суд с заявлением о признании ненормативного правового акта управления недействительным. Отказывая в удовлетворении заявления, суды трех инстанций, руководствуясь положениями Федерального закона от 05.04.2013 № 44-ФЗ 3 «О контрактной системе в сфере закупок товаров, работ, услуг для обеспечения государственных и муниципальных нужд», пришли к выводу о том, что оспоренное решение соответствует действующему законодательству и не нарушает права и законные интересы заявителя. Судебные инстанции установили, что предприятие в составе заявки не представило надлежащих доказательств, подтверждающих наличие необходимого опыта для выполнения соответствующего вида работ, и его заявка правомерно отклонена управлением контрактной системы. Суды отметили, что документы, представленные предприятием в составе второй части заявки, не свидетельствовали о наличии у него опыта по строительству линейного объекта; лицо, выполнявшее в качестве субподрядчика отдельные этапы или виды строительных работ, не может быть признано имеющим опыт строительства самого линейного объекта в целом.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предприятию Омской области «Павлоградское дорожное ремонтно-строительное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