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12.10.2020, оставленным без изменения постановлением Пятнадцатого арбитражного апелляционного суда от 17.12.2020 и постановлением Арбитражного суда Северо-Кавказского округа от 25.03.2021, в удовлетворении заявления отказано. 2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проведена внеплановая камеральная проверка соблюдения министерством законодательства Российской Федерации и иных нормативных правовых актов о контрактной системе в сфере закупок товаров, работ, услуг при исполнении государственных контрактов, заключенных с НАО «Лабинское ДРСУ» за 2017- 2019 годы, по результатам которой составлен акт от 06.09.2019 и вынесено предписание от 18.10.2019 № 19-027 об устранении выявленных нарушений. В соответствии с указанным предписанием на министерство возложена обязанность совершить действия, направленные на применение мер ответственности в отношении подрядчика НАО «Лабинское ДРСУ», направить требования об уплате пеней, исчисленных за просрочку исполнения поставщиком обязательств по контрактам. Не согласившись с предписанием департамента, министерство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определения размера штрафа, начисляемого при ненадлежащем исполнении заказчиком, поставщиком (подрядчиком, исполнителем) обязательств по контракту (за исключением просрочки исполнения обязательств заказчиком, поставщиком (подрядчиком, исполнителем), и размера пеней за каждый день просрочки исполнения поставщиком (подрядчиком, исполнителем) обязательства по контракту, утвержденными постановлением Правительства Российской Федерации от 25.11.2013 № 1063,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3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1063, утвержденными постановлением Правительства Российской Федерации от 30.08.2017 № 1042, пришли к выводу о том, что оспоренное предписание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акты приемки выполненных работ (этапов) по форме КС-2 и справки по форме КС-3, подтверждающие фактическую сдачу выполненных работ (этапов работ) подрядчиком и фактическую их приемку заказчиком подписаны по истечении установленных контрактами сроков окончания работ, что свидетельствует о нарушении подрядчиком сроков выполнения работ, и как следствие, возникновении у министерства права требования соответствующих финансовых санкций к подрядчику. Суды отметили, что министерством исполнено предписание в части принятия мер по усилению контроля за исполнением контрактов, предъявлены требования об уплате неустойки (пеней) подрядчику НАО «Лабинское ДРСУ», что свидетельствует о согласии подрядчика с выявленными департаментом нарушениями окончательных сроков выполнения работ на объектах. Суд округа поддержал выводы судебных инстанций. Доводы,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