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12.08.2020, оставленным без изменения постановлением Семнадцатого арбитражного апелляционного суда от 11.11.2020 и постановлением Арбитражного суда Уральского округа от 12.03.2021,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камеральная налоговая проверка представленной обществом налоговой декларации по налогу на добавленную стоимость (далее - НДС) за 1 квартал 2019 года, по результатам составлен акт и вынесено решение, которым доначислено 217 699 рублей налога, 19 476 рублей 63 копейки пени и 10 885 рублей штрафа. Основанием для доначисления налога послужил вывод налогового органа о завышении заявителем налоговых вычетов по НДС, заявленных за пределами трехлетнего срока, установленного пунктом 1.1 статьи 172 Налогового кодекса Российской Федерации (далее - Налоговый кодекс). Не согласившись с решением инспекции, общество обратилось в арбитражный суд. Исследовав и оценив представленные в материалы дела доказательства, суд первой инстанции, руководствуясь положениями Налогового кодекса, пришел к выводу о том, что решение инспекции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округа. Судебные инстанции поддержали вывод налогового органа о том, что обществом не представлено доказательств наличия обстоятельств, препятствовавших налогоплательщику реализовать свое право на применение спорных налоговых вычетов в том налоговом периоде, в котором возникло соответствующее право, а также в любом последующем периоде в течение трех лет. Кроме того, суды отметили, что исходя из норм действовавшего в 2006 году налогового законодательства и законодательства о бухгалтерском учете, у общества имелись основания для получения с 2006 года вычета по НДС по счетам-фактурам 2003-2004 годов. Доводы заявителя, изложенные в кассационной жалобе, в том числе о наличии у заявителя права на получение спорных вычетов лишь с момента введения в эксплуатацию завершенного строительством объекта на основании вступившего в законную силу решения Индустриального районного суда города Ижевска от 04.10.2018 по делу № 2-2678-18,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«Элком»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"ЭЛКОМ" (подробнее) Ответчики: Межрайонная инспекция Федеральной налоговой службы №3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