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21.09.2020, оставленным без изменения постановлениями Девятого арбитражного апелляционного суда от 02.12.2020 и Арбитражного суда Московского округа от 31.03.2021, в удовлетворении заявленных требований отказано. В кассационной жалобе учреждение ставит вопрос об отмене принятых по делу судебных актов,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ООО «АРК Ком», ООО «Гранит», ООО «Систех» на действия учреждения (заказчик) при проведении электронного аукциона на поставку персональной электронно-вычислительной машины (ПЭВМ) ФАС России приняты решения от 22.04.2020 № КГОЗ-097/20, № КГОЗ-098/20, № ПГОЗ-047/20. Решениями антимонопольного органа указанные жалобы признаны необоснованными, в действиях заказчика установлены нарушения части 6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Основанием для принятия решений послужил вывод антимонопольного органа о неправомерном установлении дополнительного требования к участникам закупки об отсутствии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Не соглашаясь с ненормативными правовыми актами ФАС России, учреждение обратилось в арбитражный суд. Исследовав и оценив представленные в материалы дела доказательства, руководствуясь положениями статей 31, 64 Закона о контрактной системе, Федерального закона от 29.12.2012 № 275-ФЗ «О государственном оборонном заказе»,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суды пришли к выводу о соответствии решений ФАС России действующему законодательству. Судебные инстанции исходили из того, что товар – «Персональная электронно-вычислительная машина» (ПЭВМ) не относится к вооружению, военной и специальной техники, в связи с чем установление в документации об аукционе дополнительного требования об отсутствии судимости является излишним, не соответствует положениям части 6 статьи 31 Закона о контрактной системе. Доводы учреждения, изложенные в кассационной жалобе, являлись предметом рассмотрения судов и получили надлежащую правовую оценку,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«Главный центр инженерно-технического обеспечения и связи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ФЕДЕРАЛЬНОЕ КАЗЕННОЕ УЧРЕЖДЕНИЕ "ГЛАВНЫЙ ЦЕНТР ИНЖЕНЕРНО-ТЕХНИЧЕСКОГО ОБЕСПЕЧЕНИЯ И СВЯЗИ ФЕДЕРАЛЬНОЙ СЛУЖБЫ ИСПОЛНЕНИЯ НАКАЗАНИЙ"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