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30.09.2020, оставленным без изменения постановлением Девятого арбитражного апелляционного суда от 25.12.2020 и постановлением Арбитражного суда Московского округа от 01.04.2021, исковые требования удовлетворены. В кассационной жалобе, поданной в Верховный Суд Российской Федерации, ФИО1, ссылаясь на нарушение судами норм права, просит отменить указанные судебные акты и принять по делу новый судебный акт об отказе в удовлетворении исковых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исковые требования, суды руководствовались статьями 395 , 1102 , 1103 , 1104 , 1105 , 1107 Гражданского кодекса Российской Федерации и исходили из доказанности наличия на стороне ответчика неосновательного обогащения и обязанности по его возврату обществу с уплатой процентов за пользование чужими денежными средствами. Изложенные в кассационной жалобе доводы не свидетельствуют о наличии существенных нарушений норм материального права и (или) процессуального права, повлиявших на исход дела, и не могут служить достаточными основаниями для отмены обжалуемых судебных актов, принятых исходя из конкретных обстоятельств спора.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Федерации.Судья Верховного Суда Российской Федерации Н.С. Чучунова Суд: Верховный Суд РФ (подробнее) Истцы: ООО "РУССО ЛОГИСТИКС"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