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Степура Елена Александровна обратилась в Арбитражный суд Иркутской области с иском, уточненным в порядке статьи 49 Арбитражного процессуального кодекса Российской Федерации, о взыскании с акционерного общества «Ваш Личный Банк» 1 987 803 рублей 61 копейки неосновательного обогащения. Решением Арбитражного суда Иркутской области от 18.08.2020 иск удовлетворен. Постановлением Четвертого арбитражного апелляционного суда от 20.11.2020 решение суда первой инстанции оставлено без изменения. Арбитражный суд Восточно-Сибирского округа постановлением от 24.03.2021 указанные судебные акты оставил без изменения. Акционерное общество «Ваш Личный Банк» в лице конкурсного управляющего государственной корпорации «Агентство по страхованию вкладов»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618, 1102, 1105 Гражданского кодекса Российской Федерации и исходили из доказанности возникновения на стороне ответчика неосновательного обогащения. Доводы жалобы были предметом рассмотрения судов, их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«Ваш Личный Банк» в лице конкурсного управляющего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