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июля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решением суда первой инстанции от 31.07.2020, оставленным без изменения постановлениями Девятого арбитражного апелляционного суда от 30.11.2020 и Арбитражного суда Московского округа от 23.03.2021, в удовлетворении заявления отказано. В кассационной жалобе общество ставит вопрос об отмене принятых по делу судебных актов, ссылаясь на нарушение норм права, несоответствие выводов судов фактическим обстоятельствам дела. Согласно пункту 1 части 7 статьи 291.6 Арбитражного процессуального кодекса Российской Федерации по результатам изучения кассационной жалобы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изложенные в кассационной жалобе доводы не подтверждают существенных нарушений норм материального права и (или) норм процессуального права, повлиявших на исход дела, и не являются достаточным основанием для пересмотра судебных актов в кассационном порядке, а также если указанные доводы не находят подтверждения в материалах дела. При изучении доводов кассационной жалобы и принятых по делу судебных актов не установлено оснований,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Федерации. Как усматривается из судебных актов, учреждением (заказчик) принято решение от 17.09.2019 об одностороннем отказе от исполнения контракта, заключенного с обществом (подрядчик) на выполнение работ по замене оконных блоков на стеклопакеты ПВХ в рабочих комнатах здания учреждения. Указанные обстоятельства послужили основанием для обращения заказчика в антимонопольный орган с заявлением о включении в реестр недобросовестных поставщиков сведений об обществе. По результатам рассмотрения представленных сведений управлением вынесено оспариваемое решение о включении сведений в отношении общества в реестр недобросовестных поставщиков. Исследовав и оценив представленные в материалы дела доказательства, руководствуясь положениями статей 95, 104 Федерального закона от 05.04.2013 № 44-ФЗ «О контрактной системе в сфере закупок товаров, работ, услуг для обеспечения государственных и муниципальных нужд», Правилами ведения реестра недобросовестных поставщиков (подрядчиков, исполнителей), утвержденными постановлением Правительства Российской Федерации от 25.11.2013 № 1062, суды пришли к выводу о том, что ненормативный правовой акт антимонопольного органа соответствует действующему законодательству и не нарушает права и законные интересы заявителя. Судебные инстанции исходили из наличия оснований для включения информации об обществе в реестр недобросовестных поставщиков. При исследовании обстоятельств дела установлен факт ненадлежащего исполнения обществом условий контракта, а также отсутствие объективных обстоятельств, препятствующих своевременному выполнению работ. Суды отметили, что выявление подрядчиком после заключения контракта экономической нецелесообразности его исполнения по предложенной им цене, в связи с установлением необходимости в дополнительных работах и применении дополнительных материалов, не является уважительной причиной неисполнения принятых им на себя обязательств. Доводы общества, изложенные в кассационной жалобе, повторяют позицию заявителя по спору, не опровергают выводы судов и направлены на переоценку установленных обстоятельств, не свидетельствуют о неправильном применении ими норм материального и процессуального права, повлиявшем на исход дела, в связи с чем не могут служить достаточным основанием для пересмотра судебных актов в кассационном порядке. Несогласие заявителя с выводами суда, иная оценка им фактических обстоятельств дела, не означают допущенной при рассмотрении дела судебной ошибки и в силу статьи 291.6 Арбитражного процессуального кодекса Российской Федерации не являются основанием для передачи жалобы на рассмотрение в судебном заседании Судебной коллегии Верховного Суда Российской Федерации. Руководствуясь статьями 291.1 , 291.6 и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«Окнастройсервис»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