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Редько Алексей Олегович (далее - предприниматель) обратился в Арбитражный суд города Москвы с иском о солидарном взыскании с общества с ограниченной ответственностью «Рест- строй» и общества с ограниченной ответственностью «Архитектподряд» 3 314 801 рублей 50 копеек задолженности за выполненные работы по договору от 01.06.2018. № 01/06. Решением Арбитражного суда города Москвы от 10.11.2020 в удовлетворении иска отказано. Постановлением Девятого арбитражного апелляционного суда от 12.01.2021 решение суда первой инстанции оставлено без изменения. Арбитражный суд Московского округа постановлением от 16.04.2021 указанные судебные акты оставил без изменения. 2 Индивидуальный предприниматель Редько Алексей Олегович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308, 322 Гражданского кодекса Российской Федерации, суды пришли к выводу об отсутствии оснований для привлечения ответчиков к солидарной ответственности. Доводы кассационной жалобы о нарушении судом первой инстанции норм процессуального права при подготовке дела к судебному разбирательству приводились в судах апелляционной и кассационной инстанций, были рассмотрены судами и мотивированно отклонены.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Редько Алексею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